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8A" w:rsidRDefault="002F798A">
      <w:pPr>
        <w:pStyle w:val="Nagwek1"/>
        <w:tabs>
          <w:tab w:val="left" w:pos="142"/>
        </w:tabs>
        <w:jc w:val="center"/>
        <w:rPr>
          <w:rFonts w:ascii="Times New Roman" w:hAnsi="Times New Roman"/>
        </w:rPr>
      </w:pPr>
      <w:r>
        <w:rPr>
          <w:rFonts w:ascii="Times New Roman" w:hAnsi="Times New Roman"/>
        </w:rPr>
        <w:t xml:space="preserve">WZÓR UMOWY NA DOSTAWY </w:t>
      </w:r>
    </w:p>
    <w:p w:rsidR="002F798A" w:rsidRDefault="002F798A"/>
    <w:p w:rsidR="002F798A" w:rsidRDefault="002F798A" w:rsidP="002F798A">
      <w:pPr>
        <w:pStyle w:val="Tekstpodstawowywcity"/>
        <w:spacing w:before="120" w:after="120"/>
        <w:ind w:firstLine="0"/>
      </w:pPr>
      <w:r>
        <w:t xml:space="preserve">zawarta </w:t>
      </w:r>
      <w:r w:rsidRPr="005C3601">
        <w:t>w ................,</w:t>
      </w:r>
      <w:r>
        <w:t xml:space="preserve"> dnia </w:t>
      </w:r>
      <w:r>
        <w:rPr>
          <w:b/>
        </w:rPr>
        <w:t>…………………………….</w:t>
      </w:r>
      <w:r>
        <w:t xml:space="preserve"> pomiędzy :</w:t>
      </w:r>
    </w:p>
    <w:p w:rsidR="002F798A" w:rsidRDefault="00595385" w:rsidP="002F798A">
      <w:pPr>
        <w:spacing w:before="120" w:after="120"/>
        <w:jc w:val="both"/>
        <w:rPr>
          <w:szCs w:val="20"/>
        </w:rPr>
      </w:pPr>
      <w:r w:rsidRPr="00595385">
        <w:t xml:space="preserve">Państwową Strażą Rybacką w Gdańsku </w:t>
      </w:r>
      <w:r w:rsidR="009F6DD7">
        <w:t xml:space="preserve">ul. Na Stoku 50, 80-874 Gdańsk, </w:t>
      </w:r>
      <w:r>
        <w:t>reprezentowaną</w:t>
      </w:r>
      <w:r w:rsidR="002F798A" w:rsidRPr="00595385">
        <w:t xml:space="preserve"> przez</w:t>
      </w:r>
      <w:r w:rsidR="002F798A">
        <w:t>:</w:t>
      </w:r>
    </w:p>
    <w:p w:rsidR="002F798A" w:rsidRDefault="005C3601" w:rsidP="002F798A">
      <w:pPr>
        <w:spacing w:before="120" w:after="120"/>
        <w:jc w:val="both"/>
      </w:pPr>
      <w:r>
        <w:t>1.</w:t>
      </w:r>
      <w:r w:rsidR="00595385">
        <w:t xml:space="preserve"> Idalię Kłosowska – komendanta wojewódzkiego PSR</w:t>
      </w:r>
    </w:p>
    <w:p w:rsidR="005C3601" w:rsidRDefault="005C3601" w:rsidP="002F798A">
      <w:pPr>
        <w:spacing w:before="120" w:after="120"/>
        <w:jc w:val="both"/>
      </w:pPr>
      <w:r>
        <w:t>2.</w:t>
      </w:r>
      <w:r w:rsidR="00595385">
        <w:t xml:space="preserve"> Lucynę </w:t>
      </w:r>
      <w:proofErr w:type="spellStart"/>
      <w:r w:rsidR="00595385">
        <w:t>Smelkowską</w:t>
      </w:r>
      <w:proofErr w:type="spellEnd"/>
      <w:r w:rsidR="00595385">
        <w:t xml:space="preserve"> – Główną Księgową PSR</w:t>
      </w:r>
    </w:p>
    <w:p w:rsidR="002F798A" w:rsidRDefault="002F798A" w:rsidP="002F798A">
      <w:pPr>
        <w:spacing w:before="120" w:after="120"/>
        <w:jc w:val="both"/>
        <w:rPr>
          <w:szCs w:val="20"/>
        </w:rPr>
      </w:pPr>
      <w:r>
        <w:t xml:space="preserve">zwanym dalej </w:t>
      </w:r>
      <w:r>
        <w:rPr>
          <w:b/>
          <w:bCs/>
        </w:rPr>
        <w:t>Zamawiającym</w:t>
      </w:r>
      <w:r>
        <w:t>,</w:t>
      </w:r>
    </w:p>
    <w:p w:rsidR="002F798A" w:rsidRDefault="002F798A" w:rsidP="002F798A">
      <w:pPr>
        <w:spacing w:before="120" w:after="120"/>
        <w:jc w:val="both"/>
        <w:rPr>
          <w:szCs w:val="20"/>
        </w:rPr>
      </w:pPr>
      <w:r>
        <w:t>a</w:t>
      </w:r>
    </w:p>
    <w:p w:rsidR="002F798A" w:rsidRDefault="002F798A" w:rsidP="002F798A">
      <w:pPr>
        <w:spacing w:before="120" w:after="120"/>
        <w:ind w:left="360"/>
        <w:jc w:val="both"/>
        <w:rPr>
          <w:b/>
          <w:szCs w:val="20"/>
        </w:rPr>
      </w:pPr>
      <w:r>
        <w:rPr>
          <w:b/>
        </w:rPr>
        <w:t>…………………………………………………………..</w:t>
      </w:r>
    </w:p>
    <w:p w:rsidR="002F798A" w:rsidRDefault="002F798A" w:rsidP="002F798A">
      <w:pPr>
        <w:spacing w:before="120" w:after="120"/>
        <w:ind w:left="360"/>
        <w:jc w:val="both"/>
        <w:rPr>
          <w:b/>
          <w:szCs w:val="20"/>
        </w:rPr>
      </w:pPr>
      <w:r>
        <w:rPr>
          <w:b/>
        </w:rPr>
        <w:t>…………………………………………………………..</w:t>
      </w:r>
    </w:p>
    <w:p w:rsidR="002F798A" w:rsidRDefault="002F798A" w:rsidP="002F798A">
      <w:pPr>
        <w:spacing w:before="120" w:after="120"/>
        <w:ind w:left="360"/>
        <w:jc w:val="both"/>
        <w:rPr>
          <w:b/>
          <w:szCs w:val="20"/>
        </w:rPr>
      </w:pPr>
      <w:r>
        <w:rPr>
          <w:b/>
        </w:rPr>
        <w:t>…………………………………………………………..</w:t>
      </w:r>
    </w:p>
    <w:p w:rsidR="002F798A" w:rsidRDefault="002F798A" w:rsidP="002F798A">
      <w:pPr>
        <w:spacing w:before="120" w:after="120"/>
        <w:jc w:val="both"/>
      </w:pPr>
      <w:r>
        <w:t>reprezentowanym przez:</w:t>
      </w:r>
    </w:p>
    <w:p w:rsidR="005C3601" w:rsidRDefault="005C3601" w:rsidP="002F798A">
      <w:pPr>
        <w:spacing w:before="120" w:after="120"/>
        <w:jc w:val="both"/>
      </w:pPr>
      <w:r>
        <w:t>1.</w:t>
      </w:r>
    </w:p>
    <w:p w:rsidR="005C3601" w:rsidRDefault="005C3601" w:rsidP="002F798A">
      <w:pPr>
        <w:spacing w:before="120" w:after="120"/>
        <w:jc w:val="both"/>
      </w:pPr>
      <w:r>
        <w:t>2.</w:t>
      </w:r>
    </w:p>
    <w:p w:rsidR="00B1608E" w:rsidRDefault="002F798A" w:rsidP="00B1608E">
      <w:pPr>
        <w:spacing w:before="120" w:after="120"/>
        <w:jc w:val="both"/>
      </w:pPr>
      <w:r>
        <w:t xml:space="preserve">zwanym dalej </w:t>
      </w:r>
      <w:r>
        <w:rPr>
          <w:b/>
          <w:bCs/>
        </w:rPr>
        <w:t>Wykonawcą</w:t>
      </w:r>
      <w:r>
        <w:t>.</w:t>
      </w:r>
    </w:p>
    <w:p w:rsidR="002F798A" w:rsidRDefault="002F798A" w:rsidP="00B1608E">
      <w:pPr>
        <w:spacing w:before="120" w:after="120"/>
        <w:jc w:val="both"/>
      </w:pPr>
      <w:r>
        <w:t xml:space="preserve">W wyniku dokonania przez Zamawiającego wyboru oferty Wykonawcy w trakcie postępowania o zamówienie publiczne na </w:t>
      </w:r>
      <w:r w:rsidR="00B1608E" w:rsidRPr="00B1608E">
        <w:t>bezgotówkowy zakup</w:t>
      </w:r>
      <w:r w:rsidR="000C2FC1" w:rsidRPr="00B1608E">
        <w:t xml:space="preserve"> paliw w roku 20</w:t>
      </w:r>
      <w:r w:rsidR="00B1608E" w:rsidRPr="00B1608E">
        <w:t>12</w:t>
      </w:r>
      <w:r>
        <w:t xml:space="preserve"> prowadzonego w </w:t>
      </w:r>
      <w:r w:rsidRPr="00B1608E">
        <w:t xml:space="preserve">trybie </w:t>
      </w:r>
      <w:r w:rsidR="000C2FC1" w:rsidRPr="00B1608E">
        <w:t>przetarg</w:t>
      </w:r>
      <w:r w:rsidR="00B1608E">
        <w:t>u</w:t>
      </w:r>
      <w:r w:rsidR="000C2FC1" w:rsidRPr="00B1608E">
        <w:t xml:space="preserve"> nieograniczon</w:t>
      </w:r>
      <w:r w:rsidR="00B1608E">
        <w:t>ego</w:t>
      </w:r>
      <w:r>
        <w:t>, Strony oświadczają co następuje:</w:t>
      </w:r>
    </w:p>
    <w:p w:rsidR="002F798A" w:rsidRDefault="002F798A" w:rsidP="002F798A">
      <w:pPr>
        <w:spacing w:before="120" w:after="120"/>
        <w:ind w:firstLine="1"/>
        <w:jc w:val="center"/>
        <w:rPr>
          <w:szCs w:val="20"/>
        </w:rPr>
      </w:pPr>
      <w:r>
        <w:rPr>
          <w:b/>
        </w:rPr>
        <w:t>§ 1</w:t>
      </w:r>
    </w:p>
    <w:p w:rsidR="002F798A" w:rsidRDefault="002F798A" w:rsidP="002F798A">
      <w:pPr>
        <w:numPr>
          <w:ilvl w:val="0"/>
          <w:numId w:val="6"/>
        </w:numPr>
        <w:spacing w:before="120" w:after="120"/>
        <w:jc w:val="both"/>
        <w:rPr>
          <w:szCs w:val="20"/>
        </w:rPr>
      </w:pPr>
      <w:r>
        <w:t xml:space="preserve">Przedmiotem niniejszej Umowy jest </w:t>
      </w:r>
      <w:r w:rsidR="00B1608E">
        <w:t>dostawa paliw na</w:t>
      </w:r>
      <w:r w:rsidR="00595385" w:rsidRPr="00B1608E">
        <w:t xml:space="preserve"> kwotę</w:t>
      </w:r>
      <w:r w:rsidR="00595385">
        <w:rPr>
          <w:b/>
        </w:rPr>
        <w:t xml:space="preserve"> </w:t>
      </w:r>
      <w:r w:rsidR="00595385" w:rsidRPr="00D37D74">
        <w:t>ok.7</w:t>
      </w:r>
      <w:r w:rsidR="00D37D74" w:rsidRPr="00D37D74">
        <w:t>4</w:t>
      </w:r>
      <w:r w:rsidR="00595385">
        <w:rPr>
          <w:b/>
        </w:rPr>
        <w:t xml:space="preserve"> </w:t>
      </w:r>
      <w:r w:rsidR="00595385" w:rsidRPr="00D37D74">
        <w:t xml:space="preserve">tys. </w:t>
      </w:r>
      <w:r w:rsidR="00D37D74" w:rsidRPr="00D37D74">
        <w:t>z</w:t>
      </w:r>
      <w:r w:rsidR="00595385" w:rsidRPr="00D37D74">
        <w:t>ł</w:t>
      </w:r>
      <w:r w:rsidR="00D37D74">
        <w:t xml:space="preserve">  brutto</w:t>
      </w:r>
    </w:p>
    <w:p w:rsidR="002F798A" w:rsidRDefault="002F798A" w:rsidP="002F798A">
      <w:pPr>
        <w:numPr>
          <w:ilvl w:val="0"/>
          <w:numId w:val="6"/>
        </w:numPr>
        <w:spacing w:before="120" w:after="120"/>
        <w:jc w:val="both"/>
        <w:rPr>
          <w:szCs w:val="20"/>
        </w:rPr>
      </w:pPr>
      <w:r>
        <w:t>Zamawiający powierza, a Wykonawca przyjmuje do wykonania przedmiot umowy określony w ust. 1.</w:t>
      </w:r>
    </w:p>
    <w:p w:rsidR="002F798A" w:rsidRDefault="002F798A" w:rsidP="002F798A">
      <w:pPr>
        <w:pStyle w:val="Tekstpodstawowy"/>
        <w:numPr>
          <w:ilvl w:val="0"/>
          <w:numId w:val="6"/>
        </w:numPr>
        <w:spacing w:before="120" w:after="120" w:line="240" w:lineRule="auto"/>
      </w:pPr>
      <w:r>
        <w:t xml:space="preserve">Przedmiot Umowy jest szczegółowo określony w ofercie Wykonawcy z dnia </w:t>
      </w:r>
      <w:r w:rsidRPr="005C3601">
        <w:t>.....,</w:t>
      </w:r>
      <w:r>
        <w:t xml:space="preserve"> która stanowi załącznik do niniejszej Umowy.</w:t>
      </w:r>
    </w:p>
    <w:p w:rsidR="00595385" w:rsidRDefault="00595385" w:rsidP="00595385">
      <w:pPr>
        <w:pStyle w:val="Akapitzlist"/>
        <w:numPr>
          <w:ilvl w:val="0"/>
          <w:numId w:val="6"/>
        </w:numPr>
        <w:jc w:val="both"/>
      </w:pPr>
      <w:r>
        <w:t xml:space="preserve">Zakup paliw realizowany będzie sukcesywnie w miarę pojawiających się potrzeb, indywidualnie dla każdego pojazdu (samochodu lub łodzi motorowej) </w:t>
      </w:r>
    </w:p>
    <w:p w:rsidR="00595385" w:rsidRDefault="00595385" w:rsidP="00595385">
      <w:pPr>
        <w:pStyle w:val="Akapitzlist"/>
        <w:ind w:left="360"/>
        <w:jc w:val="both"/>
      </w:pPr>
      <w:r>
        <w:t xml:space="preserve">z wykorzystaniem </w:t>
      </w:r>
      <w:r w:rsidRPr="00595385">
        <w:rPr>
          <w:b/>
        </w:rPr>
        <w:t>kart paliwowych</w:t>
      </w:r>
      <w:r>
        <w:t xml:space="preserve"> umożliwiających dokonywanie transakcji bezgotówkowych.</w:t>
      </w:r>
    </w:p>
    <w:p w:rsidR="00595385" w:rsidRDefault="00595385" w:rsidP="00595385">
      <w:pPr>
        <w:pStyle w:val="Akapitzlist"/>
        <w:numPr>
          <w:ilvl w:val="0"/>
          <w:numId w:val="6"/>
        </w:numPr>
        <w:jc w:val="both"/>
      </w:pPr>
      <w:r>
        <w:t xml:space="preserve">Oferowany system kart paliwowych musi umożliwiać prowadzenie ewidencji pobranego paliwa dla poszczególnych pojazdów z podaniem numeru rejestracyjnego, dat tankowania, ilości pobranego paliwa. </w:t>
      </w:r>
    </w:p>
    <w:p w:rsidR="00595385" w:rsidRDefault="00595385" w:rsidP="00595385">
      <w:pPr>
        <w:pStyle w:val="Akapitzlist"/>
        <w:numPr>
          <w:ilvl w:val="0"/>
          <w:numId w:val="6"/>
        </w:numPr>
        <w:jc w:val="both"/>
      </w:pPr>
      <w:r>
        <w:t>Każda karta paliwowa powinna być przypisana tylko do jednego pojazdu o określonym numerze rejestracyjnym.</w:t>
      </w:r>
    </w:p>
    <w:p w:rsidR="00595385" w:rsidRDefault="00595385" w:rsidP="00595385">
      <w:pPr>
        <w:pStyle w:val="Akapitzlist"/>
        <w:numPr>
          <w:ilvl w:val="0"/>
          <w:numId w:val="6"/>
        </w:numPr>
        <w:jc w:val="both"/>
      </w:pPr>
      <w:r>
        <w:t xml:space="preserve">Tankowanie paliwa do łodzi motorowych będzie odbywać się do karnistrów przy wykorzystaniu osobnych kart paliwowych – w tym przypadku obowiązkowej rejestracji będzie podlegała data tankowania, ilość pobranego paliwa oraz nazwa jednostki terenowej Państwowej Straży Rybackiej </w:t>
      </w:r>
      <w:r w:rsidR="00B1608E">
        <w:t xml:space="preserve">w Gdańsku </w:t>
      </w:r>
      <w:r>
        <w:t>nabywającej paliwo.</w:t>
      </w:r>
    </w:p>
    <w:p w:rsidR="00595385" w:rsidRDefault="00595385" w:rsidP="00595385">
      <w:pPr>
        <w:pStyle w:val="Akapitzlist"/>
        <w:ind w:left="360"/>
        <w:jc w:val="both"/>
      </w:pPr>
    </w:p>
    <w:p w:rsidR="00595385" w:rsidRDefault="00595385" w:rsidP="00595385">
      <w:pPr>
        <w:pStyle w:val="Akapitzlist"/>
        <w:numPr>
          <w:ilvl w:val="0"/>
          <w:numId w:val="6"/>
        </w:numPr>
        <w:jc w:val="both"/>
      </w:pPr>
      <w:r>
        <w:lastRenderedPageBreak/>
        <w:t>Wszystkie karty paliwowe powinny spełniać bankowe standardy zabezpieczeń i powinny być zabezpieczone poufnym kodem identyfikacyjnym PIN, który będzie znany jedynie ich użytkownikom.</w:t>
      </w:r>
    </w:p>
    <w:p w:rsidR="00595385" w:rsidRDefault="00595385" w:rsidP="00595385">
      <w:pPr>
        <w:pStyle w:val="Akapitzlist"/>
        <w:ind w:left="360"/>
        <w:jc w:val="both"/>
      </w:pPr>
    </w:p>
    <w:p w:rsidR="00595385" w:rsidRDefault="00595385" w:rsidP="00595385">
      <w:pPr>
        <w:pStyle w:val="Akapitzlist"/>
        <w:numPr>
          <w:ilvl w:val="0"/>
          <w:numId w:val="6"/>
        </w:numPr>
        <w:jc w:val="both"/>
      </w:pPr>
      <w:r>
        <w:t xml:space="preserve">Okres rozliczeniowy </w:t>
      </w:r>
      <w:r w:rsidR="00B1608E">
        <w:t>będzie następował</w:t>
      </w:r>
      <w:r>
        <w:t xml:space="preserve"> 2 razy w miesiącu.</w:t>
      </w:r>
    </w:p>
    <w:p w:rsidR="00595385" w:rsidRDefault="00595385" w:rsidP="00595385">
      <w:pPr>
        <w:pStyle w:val="Akapitzlist"/>
        <w:ind w:left="360"/>
        <w:jc w:val="both"/>
      </w:pPr>
    </w:p>
    <w:p w:rsidR="00595385" w:rsidRDefault="00595385" w:rsidP="00595385">
      <w:pPr>
        <w:pStyle w:val="Akapitzlist"/>
        <w:numPr>
          <w:ilvl w:val="0"/>
          <w:numId w:val="6"/>
        </w:numPr>
        <w:jc w:val="both"/>
      </w:pPr>
      <w:r>
        <w:t>Podstawą do dokonania rozliczeń będzie ilość zakupionego paliwa i materiałów zgodnie z cenami obowiązującymi na danej stacji w dniu dokonania transakcji.</w:t>
      </w:r>
    </w:p>
    <w:p w:rsidR="00595385" w:rsidRDefault="00595385" w:rsidP="00595385">
      <w:pPr>
        <w:pStyle w:val="Akapitzlist"/>
        <w:ind w:left="360"/>
        <w:jc w:val="both"/>
      </w:pPr>
    </w:p>
    <w:p w:rsidR="00595385" w:rsidRDefault="00595385" w:rsidP="00595385">
      <w:pPr>
        <w:pStyle w:val="Akapitzlist"/>
        <w:numPr>
          <w:ilvl w:val="0"/>
          <w:numId w:val="6"/>
        </w:numPr>
        <w:jc w:val="both"/>
      </w:pPr>
      <w:r>
        <w:t>Podstawą zapłaty będzie faktura VAT obejmująca transakcje z okresu rozliczeniowego.</w:t>
      </w:r>
    </w:p>
    <w:p w:rsidR="00595385" w:rsidRDefault="00595385" w:rsidP="00595385">
      <w:pPr>
        <w:pStyle w:val="Akapitzlist"/>
      </w:pPr>
    </w:p>
    <w:p w:rsidR="00595385" w:rsidRDefault="00595385" w:rsidP="00595385">
      <w:pPr>
        <w:pStyle w:val="Akapitzlist"/>
        <w:numPr>
          <w:ilvl w:val="0"/>
          <w:numId w:val="6"/>
        </w:numPr>
        <w:jc w:val="both"/>
      </w:pPr>
      <w:r>
        <w:t>Faktura będzie płatna w ciągu 21 dni od daty sprzedaży.</w:t>
      </w:r>
    </w:p>
    <w:p w:rsidR="00595385" w:rsidRDefault="00595385" w:rsidP="00595385">
      <w:pPr>
        <w:pStyle w:val="Akapitzlist"/>
        <w:ind w:left="360"/>
        <w:jc w:val="both"/>
      </w:pPr>
    </w:p>
    <w:p w:rsidR="00595385" w:rsidRDefault="00595385" w:rsidP="00595385">
      <w:pPr>
        <w:pStyle w:val="Akapitzlist"/>
        <w:numPr>
          <w:ilvl w:val="0"/>
          <w:numId w:val="6"/>
        </w:numPr>
        <w:jc w:val="both"/>
      </w:pPr>
      <w:r>
        <w:t>Wykonawca obowiązany jest zapewnić Zamawiającemu w całym okresie realizacji zamówienia dostęp do stacji paliw przez co najmniej 10 godzin na dobę.</w:t>
      </w:r>
    </w:p>
    <w:p w:rsidR="00595385" w:rsidRDefault="00595385" w:rsidP="00595385">
      <w:pPr>
        <w:pStyle w:val="Akapitzlist"/>
        <w:ind w:left="360"/>
      </w:pPr>
    </w:p>
    <w:p w:rsidR="000B40D9" w:rsidRDefault="000B40D9" w:rsidP="002F798A">
      <w:pPr>
        <w:pStyle w:val="Tekstpodstawowy"/>
        <w:numPr>
          <w:ilvl w:val="0"/>
          <w:numId w:val="6"/>
        </w:numPr>
        <w:spacing w:before="120" w:after="120" w:line="240" w:lineRule="auto"/>
      </w:pPr>
      <w:r>
        <w:t xml:space="preserve">Zawarte w umowie wielkości dostaw są szacunkowe, a ich realizacja uzależniona będzie od potrzeb Zamawiającego. </w:t>
      </w:r>
    </w:p>
    <w:p w:rsidR="002F798A" w:rsidRDefault="002F798A" w:rsidP="002F798A">
      <w:pPr>
        <w:spacing w:before="120" w:after="120"/>
        <w:jc w:val="center"/>
        <w:rPr>
          <w:b/>
        </w:rPr>
      </w:pPr>
      <w:r>
        <w:rPr>
          <w:b/>
        </w:rPr>
        <w:t>§ 2</w:t>
      </w:r>
    </w:p>
    <w:p w:rsidR="002F798A" w:rsidRDefault="002F798A" w:rsidP="002F798A">
      <w:pPr>
        <w:numPr>
          <w:ilvl w:val="0"/>
          <w:numId w:val="8"/>
        </w:numPr>
        <w:spacing w:before="120" w:after="120"/>
        <w:jc w:val="both"/>
      </w:pPr>
      <w:r>
        <w:t xml:space="preserve">Termin rozpoczęcia prac stanowiących przedmiot umowy Strony ustalają </w:t>
      </w:r>
      <w:r w:rsidR="00BC5D3B">
        <w:t>niezwłocznie po podpisaniu umowy</w:t>
      </w:r>
    </w:p>
    <w:p w:rsidR="002F798A" w:rsidRPr="00BC5D3B" w:rsidRDefault="002C40A9" w:rsidP="002F798A">
      <w:pPr>
        <w:numPr>
          <w:ilvl w:val="0"/>
          <w:numId w:val="8"/>
        </w:numPr>
        <w:spacing w:before="120" w:after="120"/>
        <w:jc w:val="both"/>
      </w:pPr>
      <w:r>
        <w:t>Umowa będzie trwać</w:t>
      </w:r>
      <w:r w:rsidR="002F798A">
        <w:t xml:space="preserve"> do dnia </w:t>
      </w:r>
      <w:r w:rsidR="0033043D" w:rsidRPr="00BC5D3B">
        <w:rPr>
          <w:bCs/>
        </w:rPr>
        <w:t>31</w:t>
      </w:r>
      <w:r w:rsidR="000B40D9" w:rsidRPr="00BC5D3B">
        <w:rPr>
          <w:bCs/>
        </w:rPr>
        <w:t>.</w:t>
      </w:r>
      <w:r w:rsidR="0033043D" w:rsidRPr="00BC5D3B">
        <w:rPr>
          <w:bCs/>
        </w:rPr>
        <w:t>12</w:t>
      </w:r>
      <w:r w:rsidR="000B40D9" w:rsidRPr="00BC5D3B">
        <w:rPr>
          <w:bCs/>
        </w:rPr>
        <w:t>.20</w:t>
      </w:r>
      <w:r w:rsidRPr="00BC5D3B">
        <w:rPr>
          <w:bCs/>
        </w:rPr>
        <w:t>1</w:t>
      </w:r>
      <w:r w:rsidR="0033043D" w:rsidRPr="00BC5D3B">
        <w:rPr>
          <w:bCs/>
        </w:rPr>
        <w:t>2</w:t>
      </w:r>
      <w:r w:rsidRPr="00BC5D3B">
        <w:rPr>
          <w:bCs/>
        </w:rPr>
        <w:t>r.</w:t>
      </w:r>
      <w:bookmarkStart w:id="0" w:name="_GoBack"/>
      <w:bookmarkEnd w:id="0"/>
    </w:p>
    <w:p w:rsidR="002F798A" w:rsidRDefault="002F798A" w:rsidP="002C40A9">
      <w:pPr>
        <w:spacing w:before="120" w:after="120"/>
        <w:rPr>
          <w:b/>
        </w:rPr>
      </w:pPr>
    </w:p>
    <w:p w:rsidR="000B40D9" w:rsidRDefault="000B40D9" w:rsidP="000B40D9">
      <w:pPr>
        <w:spacing w:before="120" w:after="120"/>
        <w:jc w:val="both"/>
        <w:rPr>
          <w:szCs w:val="20"/>
        </w:rPr>
      </w:pPr>
    </w:p>
    <w:p w:rsidR="002F798A" w:rsidRDefault="002F798A" w:rsidP="002F798A">
      <w:pPr>
        <w:spacing w:before="120" w:after="120"/>
        <w:jc w:val="center"/>
        <w:rPr>
          <w:szCs w:val="20"/>
        </w:rPr>
      </w:pPr>
      <w:r>
        <w:rPr>
          <w:b/>
        </w:rPr>
        <w:t>§ 5</w:t>
      </w:r>
    </w:p>
    <w:p w:rsidR="002F798A" w:rsidRDefault="002F798A" w:rsidP="002F798A">
      <w:pPr>
        <w:pStyle w:val="Tekstpodstawowy"/>
        <w:numPr>
          <w:ilvl w:val="0"/>
          <w:numId w:val="14"/>
        </w:numPr>
        <w:spacing w:before="120" w:after="120" w:line="240" w:lineRule="auto"/>
      </w:pPr>
      <w: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2F798A" w:rsidRDefault="002F798A" w:rsidP="002F798A">
      <w:pPr>
        <w:numPr>
          <w:ilvl w:val="0"/>
          <w:numId w:val="14"/>
        </w:numPr>
        <w:spacing w:before="120" w:after="120"/>
        <w:jc w:val="both"/>
        <w:rPr>
          <w:szCs w:val="20"/>
        </w:rPr>
      </w:pPr>
      <w:r>
        <w:t xml:space="preserve">W wypadku określonym w ustępie poprzedzającym postanowienia o karze umownej nie mają zastosowania </w:t>
      </w:r>
    </w:p>
    <w:p w:rsidR="002F798A" w:rsidRDefault="002F798A" w:rsidP="002F798A">
      <w:pPr>
        <w:spacing w:before="120" w:after="120"/>
        <w:jc w:val="center"/>
        <w:rPr>
          <w:b/>
          <w:bCs/>
          <w:szCs w:val="20"/>
        </w:rPr>
      </w:pPr>
      <w:r>
        <w:rPr>
          <w:b/>
          <w:bCs/>
        </w:rPr>
        <w:t>§ 6</w:t>
      </w:r>
    </w:p>
    <w:p w:rsidR="002F798A" w:rsidRDefault="002F798A" w:rsidP="002F798A">
      <w:pPr>
        <w:pStyle w:val="Tekstpodstawowy3"/>
        <w:spacing w:before="120" w:after="120"/>
        <w:rPr>
          <w:szCs w:val="20"/>
        </w:rPr>
      </w:pPr>
      <w:r>
        <w:t xml:space="preserve">Zamawiający stworzy niezbędne warunki organizacyjne umożliwiające dostęp pracownikom Wykonawcy do pomieszczeń i personelu Wykonawcy – w zakresie niezbędnym do wykonania niniejszej umowy. </w:t>
      </w:r>
    </w:p>
    <w:p w:rsidR="002F798A" w:rsidRDefault="002F798A" w:rsidP="002F798A">
      <w:pPr>
        <w:spacing w:before="120" w:after="120"/>
        <w:jc w:val="center"/>
        <w:rPr>
          <w:b/>
          <w:bCs/>
          <w:szCs w:val="20"/>
        </w:rPr>
      </w:pPr>
      <w:r>
        <w:rPr>
          <w:b/>
          <w:bCs/>
        </w:rPr>
        <w:t>§ 8</w:t>
      </w:r>
    </w:p>
    <w:p w:rsidR="002F798A" w:rsidRDefault="002F798A" w:rsidP="002F798A">
      <w:pPr>
        <w:pStyle w:val="Tekstpodstawowy"/>
        <w:numPr>
          <w:ilvl w:val="0"/>
          <w:numId w:val="16"/>
        </w:numPr>
        <w:spacing w:before="120" w:after="120" w:line="240" w:lineRule="auto"/>
      </w:pPr>
      <w:r>
        <w:t>Zmiana postanowień umowy może nastąpić za zgodą obu Stron wyrażoną na piśmie pod rygorem nieważności takiej zmiany.</w:t>
      </w:r>
    </w:p>
    <w:p w:rsidR="002F798A" w:rsidRDefault="002F798A" w:rsidP="002F798A">
      <w:pPr>
        <w:numPr>
          <w:ilvl w:val="0"/>
          <w:numId w:val="16"/>
        </w:numPr>
        <w:spacing w:before="120" w:after="120"/>
        <w:jc w:val="both"/>
        <w:rPr>
          <w:szCs w:val="20"/>
        </w:rPr>
      </w:pPr>
      <w:r>
        <w:t xml:space="preserve">Niedopuszczalna jest jednak pod rygorem nieważności zmiana postanowień zawartej umowy oraz wprowadzenie nowych postanowień do umowy niekorzystnych dla Zamawiającemu, jeżeli przy ich uwzględnieniu należałoby zmienić treść oferty, na podstawie, której dokonano wyboru Wykonawcy, chyba że konieczność wprowadzenia takich zmian wynika z okoliczności, których nie można było przewidzieć w chwili zawarcia umowy. </w:t>
      </w:r>
    </w:p>
    <w:p w:rsidR="002F798A" w:rsidRDefault="002F798A" w:rsidP="002F798A">
      <w:pPr>
        <w:spacing w:before="120" w:after="120"/>
        <w:jc w:val="center"/>
        <w:rPr>
          <w:b/>
          <w:bCs/>
          <w:szCs w:val="20"/>
        </w:rPr>
      </w:pPr>
      <w:r>
        <w:rPr>
          <w:b/>
          <w:bCs/>
        </w:rPr>
        <w:lastRenderedPageBreak/>
        <w:t>§ 9</w:t>
      </w:r>
    </w:p>
    <w:p w:rsidR="002F798A" w:rsidRDefault="002F798A" w:rsidP="002F798A">
      <w:pPr>
        <w:pStyle w:val="Tekstpodstawowy3"/>
        <w:spacing w:before="120" w:after="120"/>
        <w:rPr>
          <w:szCs w:val="20"/>
        </w:rPr>
      </w:pPr>
      <w:r>
        <w:t xml:space="preserve">Właściwym dla rozpoznania sporów wynikłych na tle realizacji niniejszej umowy jest sąd właściwy dla siedziby Zamawiającemu. </w:t>
      </w:r>
    </w:p>
    <w:p w:rsidR="002F798A" w:rsidRDefault="002F798A" w:rsidP="002F798A">
      <w:pPr>
        <w:spacing w:before="120" w:after="120"/>
        <w:jc w:val="center"/>
        <w:rPr>
          <w:b/>
          <w:bCs/>
          <w:szCs w:val="20"/>
        </w:rPr>
      </w:pPr>
      <w:r>
        <w:rPr>
          <w:b/>
          <w:bCs/>
        </w:rPr>
        <w:t>§ 10</w:t>
      </w:r>
    </w:p>
    <w:p w:rsidR="002F798A" w:rsidRPr="004D0BD1" w:rsidRDefault="002F798A" w:rsidP="002F798A">
      <w:pPr>
        <w:pStyle w:val="Tekstpodstawowy3"/>
        <w:spacing w:before="120" w:after="120"/>
        <w:rPr>
          <w:szCs w:val="20"/>
        </w:rPr>
      </w:pPr>
      <w:r>
        <w:t xml:space="preserve">W sprawach nie uregulowanych w niniejszej Umowie stosuje się przepisy Kodeksu Cywilnego i ustawy z dnia 29 stycznia 2004 roku Prawo Zamówień Publicznych </w:t>
      </w:r>
      <w:r w:rsidR="00D96F3F">
        <w:t>(Dz. U. z 2007 r. Nr 223, poz. 1655)</w:t>
      </w:r>
      <w:r w:rsidR="004D0BD1">
        <w:t>.</w:t>
      </w:r>
    </w:p>
    <w:p w:rsidR="002F798A" w:rsidRDefault="002F798A" w:rsidP="002F798A">
      <w:pPr>
        <w:spacing w:before="120" w:after="120"/>
        <w:jc w:val="center"/>
        <w:rPr>
          <w:b/>
          <w:bCs/>
          <w:szCs w:val="20"/>
        </w:rPr>
      </w:pPr>
      <w:r>
        <w:rPr>
          <w:b/>
          <w:bCs/>
        </w:rPr>
        <w:t>§ 11</w:t>
      </w:r>
    </w:p>
    <w:p w:rsidR="002F798A" w:rsidRDefault="002F798A" w:rsidP="002F798A">
      <w:pPr>
        <w:pStyle w:val="Tekstpodstawowy3"/>
        <w:spacing w:before="120" w:after="120"/>
        <w:rPr>
          <w:szCs w:val="20"/>
        </w:rPr>
      </w:pPr>
      <w:r>
        <w:t>Wszelkie załączniki stanowią integralną część niniejszej Umowy.</w:t>
      </w:r>
    </w:p>
    <w:p w:rsidR="002F798A" w:rsidRDefault="002F798A" w:rsidP="002F798A">
      <w:pPr>
        <w:spacing w:before="120" w:after="120"/>
        <w:jc w:val="center"/>
        <w:rPr>
          <w:b/>
          <w:bCs/>
          <w:szCs w:val="20"/>
        </w:rPr>
      </w:pPr>
      <w:r>
        <w:rPr>
          <w:b/>
          <w:bCs/>
        </w:rPr>
        <w:t>§ 12</w:t>
      </w:r>
    </w:p>
    <w:p w:rsidR="002F798A" w:rsidRDefault="002F798A" w:rsidP="002F798A">
      <w:pPr>
        <w:pStyle w:val="Tekstpodstawowy3"/>
        <w:spacing w:before="120" w:after="120"/>
        <w:rPr>
          <w:szCs w:val="20"/>
        </w:rPr>
      </w:pPr>
      <w:r>
        <w:t xml:space="preserve">Umowę sporządzono w </w:t>
      </w:r>
      <w:r w:rsidR="000B40D9">
        <w:t>dwóch</w:t>
      </w:r>
      <w:r>
        <w:t xml:space="preserve"> jednobrzmiących egzemplarzach, po </w:t>
      </w:r>
      <w:r w:rsidR="000B40D9">
        <w:t>jednym</w:t>
      </w:r>
      <w:r>
        <w:t xml:space="preserve"> dla każdej ze Stron.</w:t>
      </w:r>
    </w:p>
    <w:p w:rsidR="002F798A" w:rsidRDefault="002F798A" w:rsidP="002F798A">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rsidR="002F798A" w:rsidRDefault="002F798A">
      <w:pPr>
        <w:tabs>
          <w:tab w:val="left" w:pos="1620"/>
          <w:tab w:val="left" w:pos="6660"/>
        </w:tabs>
        <w:spacing w:line="360" w:lineRule="auto"/>
        <w:jc w:val="both"/>
        <w:rPr>
          <w:vertAlign w:val="superscript"/>
        </w:rPr>
      </w:pPr>
      <w:r>
        <w:rPr>
          <w:vertAlign w:val="superscript"/>
        </w:rPr>
        <w:tab/>
        <w:t>Zamawiający</w:t>
      </w:r>
      <w:r>
        <w:rPr>
          <w:vertAlign w:val="superscript"/>
        </w:rPr>
        <w:tab/>
        <w:t>Wykonawca</w:t>
      </w:r>
    </w:p>
    <w:sectPr w:rsidR="002F798A" w:rsidSect="00F25E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CF" w:rsidRDefault="006B4DCF">
      <w:r>
        <w:separator/>
      </w:r>
    </w:p>
  </w:endnote>
  <w:endnote w:type="continuationSeparator" w:id="0">
    <w:p w:rsidR="006B4DCF" w:rsidRDefault="006B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CF" w:rsidRDefault="006B4DCF">
      <w:r>
        <w:separator/>
      </w:r>
    </w:p>
  </w:footnote>
  <w:footnote w:type="continuationSeparator" w:id="0">
    <w:p w:rsidR="006B4DCF" w:rsidRDefault="006B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4">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7AD154F"/>
    <w:multiLevelType w:val="singleLevel"/>
    <w:tmpl w:val="0415000F"/>
    <w:lvl w:ilvl="0">
      <w:start w:val="1"/>
      <w:numFmt w:val="decimal"/>
      <w:lvlText w:val="%1."/>
      <w:lvlJc w:val="left"/>
      <w:pPr>
        <w:tabs>
          <w:tab w:val="num" w:pos="360"/>
        </w:tabs>
        <w:ind w:left="360" w:hanging="360"/>
      </w:pPr>
    </w:lvl>
  </w:abstractNum>
  <w:abstractNum w:abstractNumId="6">
    <w:nsid w:val="3EF85F7B"/>
    <w:multiLevelType w:val="singleLevel"/>
    <w:tmpl w:val="04150017"/>
    <w:lvl w:ilvl="0">
      <w:start w:val="1"/>
      <w:numFmt w:val="lowerLetter"/>
      <w:lvlText w:val="%1)"/>
      <w:lvlJc w:val="left"/>
      <w:pPr>
        <w:tabs>
          <w:tab w:val="num" w:pos="360"/>
        </w:tabs>
        <w:ind w:left="360" w:hanging="360"/>
      </w:pPr>
    </w:lvl>
  </w:abstractNum>
  <w:abstractNum w:abstractNumId="7">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num>
  <w:num w:numId="2">
    <w:abstractNumId w:val="5"/>
    <w:lvlOverride w:ilvl="0">
      <w:startOverride w:val="1"/>
    </w:lvlOverride>
  </w:num>
  <w:num w:numId="3">
    <w:abstractNumId w:val="6"/>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3662"/>
    <w:rsid w:val="000B40D9"/>
    <w:rsid w:val="000C2FC1"/>
    <w:rsid w:val="001968A8"/>
    <w:rsid w:val="00203486"/>
    <w:rsid w:val="0027217D"/>
    <w:rsid w:val="00273011"/>
    <w:rsid w:val="002C40A9"/>
    <w:rsid w:val="002F798A"/>
    <w:rsid w:val="0033043D"/>
    <w:rsid w:val="004D0BD1"/>
    <w:rsid w:val="00503662"/>
    <w:rsid w:val="005726DB"/>
    <w:rsid w:val="00595385"/>
    <w:rsid w:val="005C3601"/>
    <w:rsid w:val="00661095"/>
    <w:rsid w:val="006B4DCF"/>
    <w:rsid w:val="009A2B67"/>
    <w:rsid w:val="009F6DD7"/>
    <w:rsid w:val="00A26A12"/>
    <w:rsid w:val="00B1608E"/>
    <w:rsid w:val="00B51911"/>
    <w:rsid w:val="00BC5D3B"/>
    <w:rsid w:val="00D37D74"/>
    <w:rsid w:val="00D96F3F"/>
    <w:rsid w:val="00DB099C"/>
    <w:rsid w:val="00F25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25E2F"/>
    <w:rPr>
      <w:sz w:val="24"/>
      <w:szCs w:val="24"/>
    </w:rPr>
  </w:style>
  <w:style w:type="paragraph" w:styleId="Nagwek1">
    <w:name w:val="heading 1"/>
    <w:basedOn w:val="Normalny"/>
    <w:next w:val="Normalny"/>
    <w:qFormat/>
    <w:rsid w:val="00F25E2F"/>
    <w:pPr>
      <w:keepNext/>
      <w:spacing w:before="240" w:after="60"/>
      <w:outlineLvl w:val="0"/>
    </w:pPr>
    <w:rPr>
      <w:rFonts w:ascii="Arial" w:hAnsi="Arial"/>
      <w:b/>
      <w:kern w:val="28"/>
      <w:sz w:val="28"/>
      <w:szCs w:val="20"/>
    </w:rPr>
  </w:style>
  <w:style w:type="paragraph" w:styleId="Nagwek8">
    <w:name w:val="heading 8"/>
    <w:basedOn w:val="Normalny"/>
    <w:next w:val="Normalny"/>
    <w:qFormat/>
    <w:rsid w:val="00F25E2F"/>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25E2F"/>
    <w:pPr>
      <w:widowControl w:val="0"/>
      <w:tabs>
        <w:tab w:val="center" w:pos="4536"/>
        <w:tab w:val="right" w:pos="9072"/>
      </w:tabs>
    </w:pPr>
    <w:rPr>
      <w:sz w:val="20"/>
      <w:szCs w:val="20"/>
    </w:rPr>
  </w:style>
  <w:style w:type="paragraph" w:styleId="Tekstpodstawowy">
    <w:name w:val="Body Text"/>
    <w:basedOn w:val="Normalny"/>
    <w:rsid w:val="00F25E2F"/>
    <w:pPr>
      <w:spacing w:line="360" w:lineRule="auto"/>
      <w:jc w:val="both"/>
    </w:pPr>
    <w:rPr>
      <w:szCs w:val="20"/>
    </w:rPr>
  </w:style>
  <w:style w:type="paragraph" w:styleId="Tekstpodstawowywcity">
    <w:name w:val="Body Text Indent"/>
    <w:basedOn w:val="Normalny"/>
    <w:rsid w:val="00F25E2F"/>
    <w:pPr>
      <w:spacing w:line="360" w:lineRule="auto"/>
      <w:ind w:left="709" w:hanging="1"/>
      <w:jc w:val="both"/>
    </w:pPr>
    <w:rPr>
      <w:szCs w:val="20"/>
    </w:rPr>
  </w:style>
  <w:style w:type="paragraph" w:styleId="Tekstpodstawowy2">
    <w:name w:val="Body Text 2"/>
    <w:basedOn w:val="Normalny"/>
    <w:rsid w:val="00F25E2F"/>
    <w:pPr>
      <w:spacing w:line="360" w:lineRule="auto"/>
      <w:jc w:val="both"/>
    </w:pPr>
    <w:rPr>
      <w:rFonts w:ascii="Arial" w:hAnsi="Arial"/>
      <w:sz w:val="22"/>
      <w:szCs w:val="20"/>
    </w:rPr>
  </w:style>
  <w:style w:type="paragraph" w:styleId="Tekstpodstawowy3">
    <w:name w:val="Body Text 3"/>
    <w:basedOn w:val="Normalny"/>
    <w:rsid w:val="00F25E2F"/>
    <w:pPr>
      <w:jc w:val="both"/>
    </w:pPr>
  </w:style>
  <w:style w:type="paragraph" w:styleId="Mapadokumentu">
    <w:name w:val="Document Map"/>
    <w:basedOn w:val="Normalny"/>
    <w:semiHidden/>
    <w:rsid w:val="00F25E2F"/>
    <w:pPr>
      <w:shd w:val="clear" w:color="auto" w:fill="000080"/>
    </w:pPr>
    <w:rPr>
      <w:rFonts w:ascii="Tahoma" w:hAnsi="Tahoma" w:cs="Tahoma"/>
    </w:rPr>
  </w:style>
  <w:style w:type="paragraph" w:styleId="Stopka">
    <w:name w:val="footer"/>
    <w:basedOn w:val="Normalny"/>
    <w:rsid w:val="000C2FC1"/>
    <w:pPr>
      <w:tabs>
        <w:tab w:val="center" w:pos="4536"/>
        <w:tab w:val="right" w:pos="9072"/>
      </w:tabs>
    </w:pPr>
  </w:style>
  <w:style w:type="paragraph" w:styleId="Akapitzlist">
    <w:name w:val="List Paragraph"/>
    <w:basedOn w:val="Normalny"/>
    <w:uiPriority w:val="34"/>
    <w:qFormat/>
    <w:rsid w:val="00595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B\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33</TotalTime>
  <Pages>1</Pages>
  <Words>627</Words>
  <Characters>3766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WB</dc:creator>
  <cp:lastModifiedBy>Komendant</cp:lastModifiedBy>
  <cp:revision>11</cp:revision>
  <cp:lastPrinted>2012-01-03T09:20:00Z</cp:lastPrinted>
  <dcterms:created xsi:type="dcterms:W3CDTF">2009-02-24T12:33:00Z</dcterms:created>
  <dcterms:modified xsi:type="dcterms:W3CDTF">2012-01-23T09:13:00Z</dcterms:modified>
</cp:coreProperties>
</file>